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983" w:rsidRPr="00822A5B" w:rsidRDefault="00166983" w:rsidP="00166983">
      <w:pPr>
        <w:spacing w:line="36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</w:t>
      </w:r>
      <w:r w:rsidRPr="00822A5B">
        <w:rPr>
          <w:rFonts w:ascii="Calibri" w:hAnsi="Calibri" w:cs="Calibri"/>
          <w:sz w:val="22"/>
          <w:szCs w:val="22"/>
        </w:rPr>
        <w:t xml:space="preserve">, dnia </w:t>
      </w:r>
      <w:r>
        <w:rPr>
          <w:rFonts w:ascii="Calibri" w:hAnsi="Calibri" w:cs="Calibri"/>
          <w:sz w:val="22"/>
          <w:szCs w:val="22"/>
        </w:rPr>
        <w:t>… września 2019</w:t>
      </w:r>
      <w:r w:rsidRPr="00822A5B">
        <w:rPr>
          <w:rFonts w:ascii="Calibri" w:hAnsi="Calibri" w:cs="Calibri"/>
          <w:sz w:val="22"/>
          <w:szCs w:val="22"/>
        </w:rPr>
        <w:t xml:space="preserve"> roku</w:t>
      </w:r>
    </w:p>
    <w:p w:rsidR="00166983" w:rsidRDefault="00166983" w:rsidP="0016698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(imię i nazwisko i adres członka SKOK)</w:t>
      </w:r>
    </w:p>
    <w:p w:rsidR="00166983" w:rsidRDefault="00166983" w:rsidP="0016698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</w:t>
      </w:r>
    </w:p>
    <w:p w:rsidR="00166983" w:rsidRDefault="00166983" w:rsidP="0016698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</w:t>
      </w:r>
    </w:p>
    <w:p w:rsidR="00166983" w:rsidRPr="00822A5B" w:rsidRDefault="00166983" w:rsidP="0016698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</w:t>
      </w:r>
    </w:p>
    <w:p w:rsidR="00166983" w:rsidRPr="00521370" w:rsidRDefault="00166983" w:rsidP="00166983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166983" w:rsidRDefault="00C62FA6" w:rsidP="00166983">
      <w:pPr>
        <w:spacing w:line="360" w:lineRule="auto"/>
        <w:ind w:left="5664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</w:t>
      </w:r>
      <w:r w:rsidR="00166983">
        <w:rPr>
          <w:rFonts w:ascii="Calibri" w:hAnsi="Calibri" w:cs="Calibri"/>
          <w:b/>
          <w:sz w:val="22"/>
          <w:szCs w:val="22"/>
        </w:rPr>
        <w:t>T</w:t>
      </w:r>
      <w:r>
        <w:rPr>
          <w:rFonts w:ascii="Calibri" w:hAnsi="Calibri" w:cs="Calibri"/>
          <w:b/>
          <w:sz w:val="22"/>
          <w:szCs w:val="22"/>
        </w:rPr>
        <w:t>I</w:t>
      </w:r>
      <w:r w:rsidR="00166983">
        <w:rPr>
          <w:rFonts w:ascii="Calibri" w:hAnsi="Calibri" w:cs="Calibri"/>
          <w:b/>
          <w:sz w:val="22"/>
          <w:szCs w:val="22"/>
        </w:rPr>
        <w:t xml:space="preserve"> Profit Spółka Akcyjna</w:t>
      </w:r>
    </w:p>
    <w:p w:rsidR="00166983" w:rsidRDefault="00166983" w:rsidP="00166983">
      <w:pPr>
        <w:spacing w:line="360" w:lineRule="auto"/>
        <w:ind w:left="5664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ul. Złota 59</w:t>
      </w:r>
    </w:p>
    <w:p w:rsidR="00166983" w:rsidRDefault="00166983" w:rsidP="00166983">
      <w:pPr>
        <w:spacing w:line="360" w:lineRule="auto"/>
        <w:ind w:left="5664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00-120 Warszawa </w:t>
      </w:r>
    </w:p>
    <w:p w:rsidR="00166983" w:rsidRPr="00822A5B" w:rsidRDefault="00166983" w:rsidP="00166983">
      <w:pPr>
        <w:spacing w:line="360" w:lineRule="auto"/>
        <w:ind w:left="5664"/>
        <w:jc w:val="both"/>
        <w:rPr>
          <w:rFonts w:ascii="Calibri" w:hAnsi="Calibri" w:cs="Calibri"/>
          <w:b/>
          <w:sz w:val="22"/>
          <w:szCs w:val="22"/>
        </w:rPr>
      </w:pPr>
    </w:p>
    <w:p w:rsidR="00166983" w:rsidRPr="00A43BD4" w:rsidRDefault="00166983" w:rsidP="00166983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166983" w:rsidRPr="00521370" w:rsidRDefault="00166983" w:rsidP="0016698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166983" w:rsidRPr="00521370" w:rsidRDefault="00166983" w:rsidP="00C62FA6">
      <w:pPr>
        <w:autoSpaceDE w:val="0"/>
        <w:autoSpaceDN w:val="0"/>
        <w:adjustRightInd w:val="0"/>
        <w:spacing w:before="8" w:after="8" w:line="360" w:lineRule="auto"/>
        <w:ind w:firstLine="708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</w:t>
      </w:r>
      <w:r w:rsidRPr="00521370">
        <w:rPr>
          <w:rFonts w:ascii="Calibri" w:eastAsia="Calibri" w:hAnsi="Calibri" w:cs="Calibri"/>
          <w:color w:val="000000"/>
          <w:sz w:val="22"/>
          <w:szCs w:val="22"/>
        </w:rPr>
        <w:t xml:space="preserve"> odpowiedzi na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wezwanie </w:t>
      </w:r>
      <w:r w:rsidR="00C62FA6">
        <w:rPr>
          <w:rFonts w:ascii="Calibri" w:hAnsi="Calibri" w:cs="Calibri"/>
          <w:sz w:val="22"/>
          <w:szCs w:val="22"/>
        </w:rPr>
        <w:t>FTI Profit SA, odnośnie należ</w:t>
      </w:r>
      <w:r w:rsidRPr="00521370">
        <w:rPr>
          <w:rFonts w:ascii="Calibri" w:hAnsi="Calibri" w:cs="Calibri"/>
          <w:sz w:val="22"/>
          <w:szCs w:val="22"/>
        </w:rPr>
        <w:t>ności dochodzonej w kwocie 70 zł, rzekomo z tytułu podwójnej wysokości udziałów</w:t>
      </w:r>
      <w:r w:rsidR="00B42D93">
        <w:rPr>
          <w:rFonts w:ascii="Calibri" w:hAnsi="Calibri" w:cs="Calibri"/>
          <w:sz w:val="22"/>
          <w:szCs w:val="22"/>
        </w:rPr>
        <w:t>, wskazuję</w:t>
      </w:r>
      <w:r w:rsidR="00DC3FDA">
        <w:rPr>
          <w:rFonts w:ascii="Calibri" w:hAnsi="Calibri" w:cs="Calibri"/>
          <w:sz w:val="22"/>
          <w:szCs w:val="22"/>
        </w:rPr>
        <w:t>, iż</w:t>
      </w:r>
      <w:r w:rsidRPr="00521370">
        <w:rPr>
          <w:rFonts w:ascii="Calibri" w:hAnsi="Calibri" w:cs="Calibri"/>
          <w:sz w:val="22"/>
          <w:szCs w:val="22"/>
        </w:rPr>
        <w:t xml:space="preserve"> jest </w:t>
      </w:r>
      <w:r w:rsidR="00DC3FDA">
        <w:rPr>
          <w:rFonts w:ascii="Calibri" w:hAnsi="Calibri" w:cs="Calibri"/>
          <w:sz w:val="22"/>
          <w:szCs w:val="22"/>
        </w:rPr>
        <w:t>ona</w:t>
      </w:r>
      <w:r w:rsidRPr="00521370">
        <w:rPr>
          <w:rFonts w:ascii="Calibri" w:hAnsi="Calibri" w:cs="Calibri"/>
          <w:sz w:val="22"/>
          <w:szCs w:val="22"/>
        </w:rPr>
        <w:t xml:space="preserve"> </w:t>
      </w:r>
      <w:r w:rsidR="00DC3FDA">
        <w:rPr>
          <w:rFonts w:ascii="Calibri" w:hAnsi="Calibri" w:cs="Calibri"/>
          <w:sz w:val="22"/>
          <w:szCs w:val="22"/>
        </w:rPr>
        <w:t>niezasadna</w:t>
      </w:r>
      <w:r w:rsidRPr="00521370">
        <w:rPr>
          <w:rFonts w:ascii="Calibri" w:hAnsi="Calibri" w:cs="Calibri"/>
          <w:sz w:val="22"/>
          <w:szCs w:val="22"/>
        </w:rPr>
        <w:t xml:space="preserve"> i nie znajduje podstaw w obowiązujących przepisach prawa. </w:t>
      </w:r>
    </w:p>
    <w:p w:rsidR="00166983" w:rsidRDefault="00166983" w:rsidP="00166983">
      <w:pPr>
        <w:pStyle w:val="Standard"/>
        <w:spacing w:after="0" w:line="360" w:lineRule="auto"/>
        <w:jc w:val="both"/>
        <w:rPr>
          <w:iCs/>
        </w:rPr>
      </w:pPr>
      <w:r w:rsidRPr="00521370">
        <w:rPr>
          <w:iCs/>
        </w:rPr>
        <w:t xml:space="preserve"> </w:t>
      </w:r>
      <w:r w:rsidRPr="00521370">
        <w:rPr>
          <w:iCs/>
        </w:rPr>
        <w:tab/>
      </w:r>
    </w:p>
    <w:p w:rsidR="00166983" w:rsidRDefault="00166983" w:rsidP="00166983">
      <w:pPr>
        <w:pStyle w:val="Standard"/>
        <w:spacing w:after="0" w:line="360" w:lineRule="auto"/>
        <w:ind w:firstLine="708"/>
        <w:jc w:val="both"/>
        <w:rPr>
          <w:iCs/>
        </w:rPr>
      </w:pPr>
      <w:r w:rsidRPr="00521370">
        <w:rPr>
          <w:iCs/>
        </w:rPr>
        <w:t xml:space="preserve">Artykuł 26 ust. 2 ustawy o skok przewiduje, że strata bilansowa pokrywana jest z funduszu zasobowego, a w części przekraczającej fundusz zasobowy – z funduszu udziałowego. Przepis ten ma charakter bezwzględnie wiążący i wynikają z niego dwa nakazy. Pierwszy przewiduje obowiązek pokrywania straty bilansowej kasy w tym samym roku, w którym strata wystąpiła. Drugi określa sposób pokrycia straty bilansowej najpierw w oparciu o fundusz zasobowy, a w części przekraczającej ten fundusz – ze środków funduszu udziałowego. </w:t>
      </w:r>
      <w:r w:rsidR="00B42D93">
        <w:rPr>
          <w:iCs/>
        </w:rPr>
        <w:t>Pokrycie straty może nastąpić tylko w związku z zatwierdzeniem sprawozdania finansowego spółdzielni i</w:t>
      </w:r>
      <w:r w:rsidRPr="00521370">
        <w:rPr>
          <w:iCs/>
        </w:rPr>
        <w:t xml:space="preserve"> ma na celu zapewnienie ciągłości działania kasy.</w:t>
      </w:r>
      <w:r w:rsidR="00B42D93">
        <w:rPr>
          <w:iCs/>
        </w:rPr>
        <w:t xml:space="preserve"> W toku postępowania upadłościowego syndyk nie dokonuje zatwierdzenia sprawozdania finansowego kasy, a jej działalność nie może już być kontynuowana. </w:t>
      </w:r>
    </w:p>
    <w:p w:rsidR="00B42D93" w:rsidRPr="00521370" w:rsidRDefault="00B42D93" w:rsidP="00166983">
      <w:pPr>
        <w:pStyle w:val="Standard"/>
        <w:spacing w:after="0" w:line="360" w:lineRule="auto"/>
        <w:ind w:firstLine="708"/>
        <w:jc w:val="both"/>
        <w:rPr>
          <w:iCs/>
        </w:rPr>
      </w:pPr>
    </w:p>
    <w:p w:rsidR="00166983" w:rsidRDefault="00166983" w:rsidP="00166983">
      <w:pPr>
        <w:pStyle w:val="Standard"/>
        <w:spacing w:after="0" w:line="360" w:lineRule="auto"/>
        <w:ind w:firstLine="708"/>
        <w:jc w:val="both"/>
        <w:rPr>
          <w:iCs/>
        </w:rPr>
      </w:pPr>
      <w:r w:rsidRPr="00521370">
        <w:rPr>
          <w:iCs/>
        </w:rPr>
        <w:t>Zgodnie z art. 38 § 1 pkt 4 Prawa spółdzielczego podejmowanie uchwał w sprawie sposobu pokrycia strat należy do wyłącznej właściwości walnego zgromadzenia, zaś w myśl art. 5 § 1 pkt 8 Prawa spółdzielczego w zw. z art. 8 ust. 1 ustawy o skok statut kasy powinien określać zasady pokrywan</w:t>
      </w:r>
      <w:r w:rsidR="00B42D93">
        <w:rPr>
          <w:iCs/>
        </w:rPr>
        <w:t>ia strat spółdzielni. Statut</w:t>
      </w:r>
      <w:r w:rsidRPr="00521370">
        <w:rPr>
          <w:iCs/>
        </w:rPr>
        <w:t xml:space="preserve"> SKOK stanowi, że gdyby fundusze własne Kasy nie wystarczyły na pokrycie strat, Walne Zgromadzenie może podjąć uchwałę zobowiązującą członków do wcześniejszego wpłacenia udziałów, niż przewiduje statut. Z tego wynika, że do wystąpienia dodatkowej odpowiedzialności członków kasy za stratę bilansową niezbędna jest konstytutywna uchwała walnego zgromadzenia o pokryciu straty</w:t>
      </w:r>
      <w:r w:rsidR="00B42D93">
        <w:rPr>
          <w:iCs/>
        </w:rPr>
        <w:t>,</w:t>
      </w:r>
      <w:r w:rsidRPr="00521370">
        <w:rPr>
          <w:iCs/>
        </w:rPr>
        <w:t xml:space="preserve"> zobowiązująca członków do wniesienia dopłat, przy czym przesłanką podjęcia przez </w:t>
      </w:r>
      <w:r w:rsidRPr="00521370">
        <w:rPr>
          <w:iCs/>
        </w:rPr>
        <w:lastRenderedPageBreak/>
        <w:t>walne zgromadzenie uchwały o pokryciu straty bilansowej przez członków w drodze wniesienia dopłat jest niewystarczający do pokrycia straty poziom funduszu zasobowego i udziałowego.</w:t>
      </w:r>
    </w:p>
    <w:p w:rsidR="00B42D93" w:rsidRDefault="00B42D93" w:rsidP="00166983">
      <w:pPr>
        <w:pStyle w:val="Standard"/>
        <w:spacing w:after="0" w:line="360" w:lineRule="auto"/>
        <w:ind w:firstLine="708"/>
        <w:jc w:val="both"/>
        <w:rPr>
          <w:iCs/>
        </w:rPr>
      </w:pPr>
    </w:p>
    <w:p w:rsidR="00B42D93" w:rsidRPr="00521370" w:rsidRDefault="00B42D93" w:rsidP="00166983">
      <w:pPr>
        <w:pStyle w:val="Standard"/>
        <w:spacing w:after="0" w:line="360" w:lineRule="auto"/>
        <w:ind w:firstLine="708"/>
        <w:jc w:val="both"/>
        <w:rPr>
          <w:iCs/>
        </w:rPr>
      </w:pPr>
      <w:r>
        <w:rPr>
          <w:iCs/>
        </w:rPr>
        <w:t>Jest okolicznością bezsporną, że Zebranie Przedstawicieli Członków SKOK ‘Kujawiak” nigdy nie podjęło takiej uchwały. Tylko uchwała Zebrania Przedstawicieli Członków, podjęta w celu zapewnienia kontynuacji jej działalności, mimo niedostatecznego poziomu zasadniczych funduszy własnych</w:t>
      </w:r>
      <w:r w:rsidR="002973E6">
        <w:rPr>
          <w:iCs/>
        </w:rPr>
        <w:t xml:space="preserve">, </w:t>
      </w:r>
      <w:r>
        <w:rPr>
          <w:iCs/>
        </w:rPr>
        <w:t xml:space="preserve">mogłaby stanowić  podstawę żądania od członków kasy dopłat z tytułu dodatkowej odpowiedzialności. </w:t>
      </w:r>
    </w:p>
    <w:p w:rsidR="00166983" w:rsidRPr="00521370" w:rsidRDefault="00166983" w:rsidP="00166983">
      <w:pPr>
        <w:pStyle w:val="Standard"/>
        <w:spacing w:after="0" w:line="360" w:lineRule="auto"/>
        <w:ind w:firstLine="708"/>
        <w:jc w:val="both"/>
      </w:pPr>
    </w:p>
    <w:p w:rsidR="00166983" w:rsidRDefault="00166983" w:rsidP="00B42D93">
      <w:pPr>
        <w:pStyle w:val="Standard"/>
        <w:spacing w:after="0" w:line="360" w:lineRule="auto"/>
        <w:ind w:firstLine="708"/>
        <w:jc w:val="both"/>
        <w:rPr>
          <w:shd w:val="clear" w:color="auto" w:fill="FFFFFF"/>
        </w:rPr>
      </w:pPr>
      <w:r w:rsidRPr="006B7950">
        <w:rPr>
          <w:iCs/>
        </w:rPr>
        <w:t>Mając powyższe na uwadze, a także oczywisty brak podstaw do kierowania do członków SKOK wezwań do zapłaty</w:t>
      </w:r>
      <w:r w:rsidR="002973E6">
        <w:rPr>
          <w:iCs/>
        </w:rPr>
        <w:t xml:space="preserve"> przez Syndyków Masy Upadłości</w:t>
      </w:r>
      <w:r w:rsidRPr="006B7950">
        <w:rPr>
          <w:iCs/>
        </w:rPr>
        <w:t xml:space="preserve">, </w:t>
      </w:r>
      <w:r>
        <w:rPr>
          <w:iCs/>
        </w:rPr>
        <w:t xml:space="preserve">Zwyczajne Walne Zgromadzenie </w:t>
      </w:r>
      <w:r w:rsidRPr="006B7950">
        <w:rPr>
          <w:iCs/>
        </w:rPr>
        <w:t>Krajow</w:t>
      </w:r>
      <w:r>
        <w:rPr>
          <w:iCs/>
        </w:rPr>
        <w:t>ej</w:t>
      </w:r>
      <w:r w:rsidRPr="006B7950">
        <w:rPr>
          <w:iCs/>
        </w:rPr>
        <w:t xml:space="preserve"> Spółdzielcze</w:t>
      </w:r>
      <w:r>
        <w:rPr>
          <w:iCs/>
        </w:rPr>
        <w:t>j</w:t>
      </w:r>
      <w:r w:rsidRPr="006B7950">
        <w:rPr>
          <w:iCs/>
        </w:rPr>
        <w:t xml:space="preserve"> Kas</w:t>
      </w:r>
      <w:r>
        <w:rPr>
          <w:iCs/>
        </w:rPr>
        <w:t>y Oszczędnościowo-Kredytowej w dniu 29 czerwca 2019 r. podjęło uchwałę będącą poglądem Kasy Krajowej przedstawionym przed Sądem Najwyższym, wywołanym zapytaniem Sądu Okręgowego w Białymstoku w sprawie II Ca 1103/18.</w:t>
      </w:r>
      <w:r w:rsidR="00DC3FDA">
        <w:rPr>
          <w:shd w:val="clear" w:color="auto" w:fill="FFFFFF"/>
        </w:rPr>
        <w:t xml:space="preserve"> Pogląd wyrażony w tej uchwale został sformułowany w oparciu o </w:t>
      </w:r>
      <w:r w:rsidR="00B42D93">
        <w:rPr>
          <w:shd w:val="clear" w:color="auto" w:fill="FFFFFF"/>
        </w:rPr>
        <w:t xml:space="preserve">wnikliwe opinie ekspertów. </w:t>
      </w:r>
      <w:r w:rsidR="002973E6">
        <w:rPr>
          <w:shd w:val="clear" w:color="auto" w:fill="FFFFFF"/>
        </w:rPr>
        <w:t>Już w roku 2017 p</w:t>
      </w:r>
      <w:r w:rsidR="00B42D93">
        <w:rPr>
          <w:shd w:val="clear" w:color="auto" w:fill="FFFFFF"/>
        </w:rPr>
        <w:t xml:space="preserve">odobne stanowisko </w:t>
      </w:r>
      <w:r w:rsidR="002973E6">
        <w:rPr>
          <w:shd w:val="clear" w:color="auto" w:fill="FFFFFF"/>
        </w:rPr>
        <w:t>zostało podjęte przez Prokuraturę</w:t>
      </w:r>
      <w:r w:rsidR="00B42D93">
        <w:rPr>
          <w:shd w:val="clear" w:color="auto" w:fill="FFFFFF"/>
        </w:rPr>
        <w:t xml:space="preserve"> Kr</w:t>
      </w:r>
      <w:r w:rsidR="002973E6">
        <w:rPr>
          <w:shd w:val="clear" w:color="auto" w:fill="FFFFFF"/>
        </w:rPr>
        <w:t xml:space="preserve">ajową, także </w:t>
      </w:r>
      <w:r w:rsidR="00B42D93">
        <w:rPr>
          <w:shd w:val="clear" w:color="auto" w:fill="FFFFFF"/>
        </w:rPr>
        <w:t xml:space="preserve">po dogłębnym zbadaniu sprawy przez zespół ekspertów. </w:t>
      </w:r>
    </w:p>
    <w:p w:rsidR="00B42D93" w:rsidRPr="00521370" w:rsidRDefault="00B42D93" w:rsidP="00B42D93">
      <w:pPr>
        <w:pStyle w:val="Standard"/>
        <w:spacing w:after="0" w:line="360" w:lineRule="auto"/>
        <w:ind w:firstLine="708"/>
        <w:jc w:val="both"/>
        <w:rPr>
          <w:iCs/>
        </w:rPr>
      </w:pPr>
    </w:p>
    <w:p w:rsidR="00166983" w:rsidRPr="00521370" w:rsidRDefault="00B42D93" w:rsidP="00166983">
      <w:pPr>
        <w:spacing w:before="8" w:line="360" w:lineRule="auto"/>
        <w:ind w:firstLine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Jednocześnie wskazuję</w:t>
      </w:r>
      <w:r w:rsidR="00166983" w:rsidRPr="00521370">
        <w:rPr>
          <w:rFonts w:ascii="Calibri" w:hAnsi="Calibri" w:cs="Calibri"/>
          <w:sz w:val="22"/>
          <w:szCs w:val="22"/>
        </w:rPr>
        <w:t>, iż mając na względzie, że żądana przez FTI Profit S.A. kwota jest c</w:t>
      </w:r>
      <w:r w:rsidR="00DC3FDA">
        <w:rPr>
          <w:rFonts w:ascii="Calibri" w:hAnsi="Calibri" w:cs="Calibri"/>
          <w:sz w:val="22"/>
          <w:szCs w:val="22"/>
        </w:rPr>
        <w:t xml:space="preserve">o najmniej sporna, wpisanie </w:t>
      </w:r>
      <w:r w:rsidR="002973E6">
        <w:rPr>
          <w:rFonts w:ascii="Calibri" w:hAnsi="Calibri" w:cs="Calibri"/>
          <w:sz w:val="22"/>
          <w:szCs w:val="22"/>
        </w:rPr>
        <w:t xml:space="preserve">mnie jako </w:t>
      </w:r>
      <w:r w:rsidR="00DC3FDA">
        <w:rPr>
          <w:rFonts w:ascii="Calibri" w:hAnsi="Calibri" w:cs="Calibri"/>
          <w:sz w:val="22"/>
          <w:szCs w:val="22"/>
        </w:rPr>
        <w:t xml:space="preserve">członka SKOK </w:t>
      </w:r>
      <w:r w:rsidR="00166983" w:rsidRPr="00521370">
        <w:rPr>
          <w:rFonts w:ascii="Calibri" w:hAnsi="Calibri" w:cs="Calibri"/>
          <w:sz w:val="22"/>
          <w:szCs w:val="22"/>
        </w:rPr>
        <w:t xml:space="preserve">do jakiekolwiek rejestru dłużników, może </w:t>
      </w:r>
      <w:r w:rsidR="002973E6">
        <w:rPr>
          <w:rFonts w:ascii="Calibri" w:hAnsi="Calibri" w:cs="Calibri"/>
          <w:sz w:val="22"/>
          <w:szCs w:val="22"/>
        </w:rPr>
        <w:t>upoważnić mnie</w:t>
      </w:r>
      <w:r w:rsidR="00166983" w:rsidRPr="00521370">
        <w:rPr>
          <w:rFonts w:ascii="Calibri" w:hAnsi="Calibri" w:cs="Calibri"/>
          <w:sz w:val="22"/>
          <w:szCs w:val="22"/>
        </w:rPr>
        <w:t xml:space="preserve"> do</w:t>
      </w:r>
      <w:r w:rsidR="00DC3FDA">
        <w:rPr>
          <w:rFonts w:ascii="Calibri" w:hAnsi="Calibri" w:cs="Calibri"/>
          <w:sz w:val="22"/>
          <w:szCs w:val="22"/>
        </w:rPr>
        <w:t xml:space="preserve"> podjęcia</w:t>
      </w:r>
      <w:r w:rsidR="00166983" w:rsidRPr="00521370">
        <w:rPr>
          <w:rFonts w:ascii="Calibri" w:hAnsi="Calibri" w:cs="Calibri"/>
          <w:sz w:val="22"/>
          <w:szCs w:val="22"/>
        </w:rPr>
        <w:t xml:space="preserve"> odpowiednich kroków prawnych związanych z ewentualnym dochodzeniem odszkodowania z tytułu ja</w:t>
      </w:r>
      <w:r w:rsidR="00DC3FDA">
        <w:rPr>
          <w:rFonts w:ascii="Calibri" w:hAnsi="Calibri" w:cs="Calibri"/>
          <w:sz w:val="22"/>
          <w:szCs w:val="22"/>
        </w:rPr>
        <w:t>kiejkolwiek szkody powstałej</w:t>
      </w:r>
      <w:r w:rsidR="00166983" w:rsidRPr="00521370">
        <w:rPr>
          <w:rFonts w:ascii="Calibri" w:hAnsi="Calibri" w:cs="Calibri"/>
          <w:sz w:val="22"/>
          <w:szCs w:val="22"/>
        </w:rPr>
        <w:t xml:space="preserve"> z tytułu nieuprawnionego wpisu do rejestru dłużników.</w:t>
      </w:r>
    </w:p>
    <w:p w:rsidR="00166983" w:rsidRPr="00521370" w:rsidRDefault="00166983" w:rsidP="00166983">
      <w:pPr>
        <w:spacing w:line="360" w:lineRule="auto"/>
        <w:ind w:left="360"/>
        <w:jc w:val="both"/>
        <w:rPr>
          <w:rFonts w:ascii="Palatino Linotype" w:hAnsi="Palatino Linotype"/>
        </w:rPr>
      </w:pPr>
    </w:p>
    <w:p w:rsidR="00166983" w:rsidRPr="00521370" w:rsidRDefault="00166983" w:rsidP="00166983">
      <w:pPr>
        <w:autoSpaceDE w:val="0"/>
        <w:autoSpaceDN w:val="0"/>
        <w:adjustRightInd w:val="0"/>
        <w:spacing w:before="8" w:after="8"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166983" w:rsidRPr="00521370" w:rsidRDefault="00166983" w:rsidP="00166983">
      <w:pPr>
        <w:spacing w:line="360" w:lineRule="auto"/>
        <w:ind w:left="708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166983" w:rsidRPr="00521370" w:rsidRDefault="00166983" w:rsidP="00166983">
      <w:pPr>
        <w:spacing w:line="360" w:lineRule="auto"/>
        <w:jc w:val="both"/>
        <w:rPr>
          <w:rFonts w:ascii="Calibri" w:hAnsi="Calibri" w:cs="Calibri"/>
          <w:color w:val="222222"/>
          <w:sz w:val="22"/>
          <w:szCs w:val="22"/>
          <w:shd w:val="clear" w:color="auto" w:fill="FFFFFF"/>
        </w:rPr>
      </w:pPr>
      <w:r w:rsidRPr="00521370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Z wyrazami szacunku</w:t>
      </w:r>
    </w:p>
    <w:p w:rsidR="00166983" w:rsidRPr="00521370" w:rsidRDefault="00166983" w:rsidP="00166983">
      <w:p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</w:p>
    <w:p w:rsidR="00166983" w:rsidRDefault="00166983" w:rsidP="00166983">
      <w:p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</w:p>
    <w:p w:rsidR="00166983" w:rsidRDefault="00166983" w:rsidP="00166983">
      <w:p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</w:p>
    <w:p w:rsidR="00166983" w:rsidRPr="00521370" w:rsidRDefault="00166983" w:rsidP="00166983">
      <w:pPr>
        <w:spacing w:line="360" w:lineRule="auto"/>
        <w:jc w:val="both"/>
        <w:rPr>
          <w:rFonts w:ascii="Calibri" w:hAnsi="Calibri" w:cs="Calibri"/>
          <w:sz w:val="20"/>
          <w:szCs w:val="20"/>
          <w:u w:val="single"/>
        </w:rPr>
      </w:pPr>
    </w:p>
    <w:p w:rsidR="00166983" w:rsidRPr="00521370" w:rsidRDefault="00166983" w:rsidP="00166983">
      <w:pPr>
        <w:spacing w:line="360" w:lineRule="auto"/>
        <w:jc w:val="both"/>
        <w:rPr>
          <w:color w:val="222222"/>
          <w:sz w:val="22"/>
          <w:szCs w:val="22"/>
          <w:shd w:val="clear" w:color="auto" w:fill="FFFFFF"/>
        </w:rPr>
      </w:pPr>
    </w:p>
    <w:p w:rsidR="00166983" w:rsidRPr="003C4CE7" w:rsidRDefault="00166983" w:rsidP="00166983">
      <w:pPr>
        <w:spacing w:line="360" w:lineRule="auto"/>
        <w:jc w:val="both"/>
        <w:rPr>
          <w:sz w:val="22"/>
          <w:szCs w:val="22"/>
        </w:rPr>
      </w:pPr>
    </w:p>
    <w:p w:rsidR="00166983" w:rsidRPr="003C4CE7" w:rsidRDefault="00166983" w:rsidP="00166983">
      <w:pPr>
        <w:spacing w:line="360" w:lineRule="auto"/>
      </w:pPr>
      <w:bookmarkStart w:id="0" w:name="_GoBack"/>
      <w:bookmarkEnd w:id="0"/>
    </w:p>
    <w:p w:rsidR="00166983" w:rsidRPr="00521370" w:rsidRDefault="00166983" w:rsidP="00166983">
      <w:pPr>
        <w:spacing w:line="360" w:lineRule="auto"/>
      </w:pPr>
    </w:p>
    <w:p w:rsidR="00166983" w:rsidRPr="00521370" w:rsidRDefault="00166983" w:rsidP="00166983">
      <w:pPr>
        <w:spacing w:line="360" w:lineRule="auto"/>
      </w:pPr>
    </w:p>
    <w:p w:rsidR="00166983" w:rsidRDefault="00166983" w:rsidP="00166983"/>
    <w:p w:rsidR="00166983" w:rsidRDefault="00166983" w:rsidP="00166983"/>
    <w:p w:rsidR="00166983" w:rsidRDefault="00166983" w:rsidP="00166983"/>
    <w:p w:rsidR="00166983" w:rsidRDefault="00166983" w:rsidP="00166983"/>
    <w:p w:rsidR="00166983" w:rsidRDefault="00166983" w:rsidP="00166983"/>
    <w:p w:rsidR="00166983" w:rsidRDefault="00166983" w:rsidP="00166983"/>
    <w:p w:rsidR="00C34E76" w:rsidRDefault="00C62FA6"/>
    <w:sectPr w:rsidR="00C34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983"/>
    <w:rsid w:val="00166983"/>
    <w:rsid w:val="002973E6"/>
    <w:rsid w:val="0066688B"/>
    <w:rsid w:val="0078475A"/>
    <w:rsid w:val="00B42D93"/>
    <w:rsid w:val="00C62FA6"/>
    <w:rsid w:val="00DC3FDA"/>
    <w:rsid w:val="00FB4843"/>
    <w:rsid w:val="00FC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8F94D-5B47-4AB4-A2A5-6EE3C8D5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6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Standard"/>
    <w:next w:val="Standard"/>
    <w:link w:val="Nagwek3Znak"/>
    <w:rsid w:val="001669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66983"/>
    <w:rPr>
      <w:rFonts w:ascii="Arial" w:eastAsia="Times New Roman" w:hAnsi="Arial" w:cs="Arial"/>
      <w:b/>
      <w:bCs/>
      <w:kern w:val="3"/>
      <w:sz w:val="26"/>
      <w:szCs w:val="26"/>
      <w:lang w:eastAsia="zh-CN"/>
    </w:rPr>
  </w:style>
  <w:style w:type="paragraph" w:customStyle="1" w:styleId="Standard">
    <w:name w:val="Standard"/>
    <w:rsid w:val="00166983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lang w:eastAsia="zh-CN"/>
    </w:rPr>
  </w:style>
  <w:style w:type="character" w:styleId="Hipercze">
    <w:name w:val="Hyperlink"/>
    <w:uiPriority w:val="99"/>
    <w:unhideWhenUsed/>
    <w:rsid w:val="0016698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Mędrzecka</dc:creator>
  <cp:keywords/>
  <dc:description/>
  <cp:lastModifiedBy>Joanna Mędrzecka</cp:lastModifiedBy>
  <cp:revision>2</cp:revision>
  <dcterms:created xsi:type="dcterms:W3CDTF">2019-09-05T11:37:00Z</dcterms:created>
  <dcterms:modified xsi:type="dcterms:W3CDTF">2019-09-05T11:37:00Z</dcterms:modified>
</cp:coreProperties>
</file>